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7B" w:rsidRPr="00FD7664" w:rsidRDefault="00FD7664" w:rsidP="00FD7664">
      <w:pPr>
        <w:suppressAutoHyphens w:val="0"/>
        <w:autoSpaceDN/>
        <w:spacing w:after="160" w:line="259" w:lineRule="auto"/>
        <w:jc w:val="left"/>
        <w:rPr>
          <w:rFonts w:ascii="Times New Roman" w:eastAsia="SimSun" w:hAnsi="Times New Roman"/>
          <w:color w:val="000000" w:themeColor="text1"/>
          <w:kern w:val="1"/>
          <w:lang w:eastAsia="zh-CN" w:bidi="hi-IN"/>
        </w:rPr>
      </w:pPr>
      <w:r>
        <w:rPr>
          <w:rFonts w:ascii="Times New Roman" w:eastAsia="SimSun" w:hAnsi="Times New Roman"/>
          <w:color w:val="000000" w:themeColor="text1"/>
          <w:kern w:val="1"/>
          <w:lang w:eastAsia="zh-CN" w:bidi="hi-IN"/>
        </w:rPr>
        <w:t xml:space="preserve"> </w:t>
      </w:r>
      <w:r>
        <w:rPr>
          <w:rFonts w:ascii="Times New Roman" w:eastAsia="SimSun" w:hAnsi="Times New Roman"/>
          <w:color w:val="000000" w:themeColor="text1"/>
          <w:kern w:val="1"/>
          <w:lang w:eastAsia="zh-CN" w:bidi="hi-IN"/>
        </w:rPr>
        <w:tab/>
      </w:r>
      <w:r w:rsidR="00EA0BBC" w:rsidRPr="00C74002">
        <w:rPr>
          <w:rFonts w:ascii="Times New Roman" w:hAnsi="Times New Roman"/>
          <w:color w:val="000000" w:themeColor="text1"/>
        </w:rPr>
        <w:t>Na temelju</w:t>
      </w:r>
      <w:r w:rsidR="00500A7B" w:rsidRPr="00C74002">
        <w:rPr>
          <w:rFonts w:ascii="Times New Roman" w:hAnsi="Times New Roman"/>
          <w:color w:val="000000" w:themeColor="text1"/>
        </w:rPr>
        <w:t xml:space="preserve"> članka </w:t>
      </w:r>
      <w:bookmarkStart w:id="0" w:name="_Hlk513543791"/>
      <w:r w:rsidR="00DF33EA" w:rsidRPr="00C74002">
        <w:rPr>
          <w:rFonts w:ascii="Times New Roman" w:hAnsi="Times New Roman"/>
          <w:color w:val="000000" w:themeColor="text1"/>
        </w:rPr>
        <w:t>39</w:t>
      </w:r>
      <w:r w:rsidR="00500A7B" w:rsidRPr="00C74002">
        <w:rPr>
          <w:rFonts w:ascii="Times New Roman" w:hAnsi="Times New Roman"/>
          <w:color w:val="000000" w:themeColor="text1"/>
        </w:rPr>
        <w:t xml:space="preserve">. </w:t>
      </w:r>
      <w:r w:rsidR="00EA0BBC" w:rsidRPr="00C74002">
        <w:rPr>
          <w:rFonts w:ascii="Times New Roman" w:hAnsi="Times New Roman"/>
          <w:color w:val="000000" w:themeColor="text1"/>
        </w:rPr>
        <w:t xml:space="preserve">Zakona o </w:t>
      </w:r>
      <w:r w:rsidR="00DF33EA" w:rsidRPr="00C74002">
        <w:rPr>
          <w:rFonts w:ascii="Times New Roman" w:hAnsi="Times New Roman"/>
          <w:color w:val="000000" w:themeColor="text1"/>
        </w:rPr>
        <w:t xml:space="preserve">proračunu </w:t>
      </w:r>
      <w:r w:rsidR="00500A7B" w:rsidRPr="00C74002">
        <w:rPr>
          <w:rFonts w:ascii="Times New Roman" w:hAnsi="Times New Roman"/>
          <w:color w:val="000000" w:themeColor="text1"/>
        </w:rPr>
        <w:t>(</w:t>
      </w:r>
      <w:r w:rsidR="00500A7B" w:rsidRPr="00C74002">
        <w:rPr>
          <w:rFonts w:ascii="Times New Roman" w:hAnsi="Times New Roman"/>
          <w:color w:val="000000" w:themeColor="text1"/>
          <w:kern w:val="1"/>
          <w:lang w:eastAsia="zh-CN"/>
        </w:rPr>
        <w:t>»</w:t>
      </w:r>
      <w:r w:rsidR="00500A7B" w:rsidRPr="00C74002">
        <w:rPr>
          <w:rFonts w:ascii="Times New Roman" w:eastAsia="SimSun" w:hAnsi="Times New Roman"/>
          <w:color w:val="000000" w:themeColor="text1"/>
          <w:kern w:val="1"/>
          <w:lang w:eastAsia="zh-CN"/>
        </w:rPr>
        <w:t>Narodne novine</w:t>
      </w:r>
      <w:r w:rsidR="00500A7B" w:rsidRPr="00C74002">
        <w:rPr>
          <w:rFonts w:ascii="Times New Roman" w:hAnsi="Times New Roman"/>
          <w:color w:val="000000" w:themeColor="text1"/>
          <w:kern w:val="1"/>
          <w:lang w:eastAsia="zh-CN"/>
        </w:rPr>
        <w:t xml:space="preserve">«, broj </w:t>
      </w:r>
      <w:r w:rsidR="00DF33EA" w:rsidRPr="00C74002">
        <w:rPr>
          <w:rFonts w:ascii="Times New Roman" w:hAnsi="Times New Roman"/>
          <w:color w:val="000000" w:themeColor="text1"/>
        </w:rPr>
        <w:t>87/08</w:t>
      </w:r>
      <w:r w:rsidR="009913D9" w:rsidRPr="00C74002">
        <w:rPr>
          <w:rFonts w:ascii="Times New Roman" w:hAnsi="Times New Roman"/>
          <w:color w:val="000000" w:themeColor="text1"/>
        </w:rPr>
        <w:t xml:space="preserve">, </w:t>
      </w:r>
      <w:r w:rsidR="00DF33EA" w:rsidRPr="00C74002">
        <w:rPr>
          <w:rFonts w:ascii="Times New Roman" w:hAnsi="Times New Roman"/>
          <w:color w:val="000000" w:themeColor="text1"/>
        </w:rPr>
        <w:t>136/12, 129/05 i</w:t>
      </w:r>
      <w:r w:rsidR="009913D9" w:rsidRPr="00C74002">
        <w:rPr>
          <w:rFonts w:ascii="Times New Roman" w:hAnsi="Times New Roman"/>
          <w:color w:val="000000" w:themeColor="text1"/>
        </w:rPr>
        <w:t xml:space="preserve"> </w:t>
      </w:r>
      <w:r w:rsidR="00DF33EA" w:rsidRPr="00C74002">
        <w:rPr>
          <w:rFonts w:ascii="Times New Roman" w:hAnsi="Times New Roman"/>
          <w:color w:val="000000" w:themeColor="text1"/>
        </w:rPr>
        <w:t>15/15</w:t>
      </w:r>
      <w:r w:rsidR="00500A7B" w:rsidRPr="00C74002">
        <w:rPr>
          <w:rFonts w:ascii="Times New Roman" w:hAnsi="Times New Roman"/>
          <w:color w:val="000000" w:themeColor="text1"/>
        </w:rPr>
        <w:t>)</w:t>
      </w:r>
      <w:r w:rsidR="00500A7B" w:rsidRPr="00C74002">
        <w:rPr>
          <w:rFonts w:ascii="Times New Roman" w:eastAsia="Times New Roman" w:hAnsi="Times New Roman"/>
          <w:bCs/>
          <w:color w:val="000000" w:themeColor="text1"/>
          <w:lang w:eastAsia="hr-HR"/>
        </w:rPr>
        <w:t xml:space="preserve"> </w:t>
      </w:r>
      <w:bookmarkEnd w:id="0"/>
      <w:r w:rsidR="00500A7B" w:rsidRPr="00C74002">
        <w:rPr>
          <w:rFonts w:ascii="Times New Roman" w:eastAsia="Times New Roman" w:hAnsi="Times New Roman"/>
          <w:bCs/>
          <w:color w:val="000000" w:themeColor="text1"/>
          <w:lang w:eastAsia="hr-HR"/>
        </w:rPr>
        <w:t>i članka</w:t>
      </w:r>
      <w:r w:rsidR="00500A7B" w:rsidRPr="00C74002">
        <w:rPr>
          <w:rFonts w:ascii="Times New Roman" w:eastAsia="Times New Roman" w:hAnsi="Times New Roman"/>
          <w:b/>
          <w:bCs/>
          <w:color w:val="000000" w:themeColor="text1"/>
          <w:lang w:eastAsia="hr-HR"/>
        </w:rPr>
        <w:t xml:space="preserve"> </w:t>
      </w:r>
      <w:r w:rsidR="00500A7B" w:rsidRPr="00C74002">
        <w:rPr>
          <w:rFonts w:ascii="Times New Roman" w:eastAsia="Times New Roman" w:hAnsi="Times New Roman"/>
          <w:bCs/>
          <w:color w:val="000000" w:themeColor="text1"/>
          <w:lang w:eastAsia="hr-HR"/>
        </w:rPr>
        <w:t xml:space="preserve">26. Statuta Grada Trogira </w:t>
      </w:r>
      <w:r w:rsidR="00500A7B" w:rsidRPr="00C74002">
        <w:rPr>
          <w:rFonts w:ascii="Times New Roman" w:eastAsia="SimSun" w:hAnsi="Times New Roman"/>
          <w:color w:val="000000" w:themeColor="text1"/>
          <w:kern w:val="1"/>
          <w:lang w:eastAsia="zh-CN"/>
        </w:rPr>
        <w:t>(</w:t>
      </w:r>
      <w:r w:rsidR="00500A7B" w:rsidRPr="00C74002">
        <w:rPr>
          <w:rFonts w:ascii="Times New Roman" w:hAnsi="Times New Roman"/>
          <w:color w:val="000000" w:themeColor="text1"/>
          <w:kern w:val="1"/>
          <w:lang w:eastAsia="zh-CN"/>
        </w:rPr>
        <w:t>»</w:t>
      </w:r>
      <w:r w:rsidR="00500A7B" w:rsidRPr="00C74002">
        <w:rPr>
          <w:rFonts w:ascii="Times New Roman" w:eastAsia="SimSun" w:hAnsi="Times New Roman"/>
          <w:color w:val="000000" w:themeColor="text1"/>
          <w:kern w:val="1"/>
          <w:lang w:eastAsia="zh-CN"/>
        </w:rPr>
        <w:t>Službeni glasnik Grada Trogira</w:t>
      </w:r>
      <w:r w:rsidR="00500A7B" w:rsidRPr="00C74002">
        <w:rPr>
          <w:rFonts w:ascii="Times New Roman" w:hAnsi="Times New Roman"/>
          <w:color w:val="000000" w:themeColor="text1"/>
          <w:kern w:val="1"/>
          <w:lang w:eastAsia="zh-CN"/>
        </w:rPr>
        <w:t>«, broj</w:t>
      </w:r>
      <w:r w:rsidR="009913D9" w:rsidRPr="00C74002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 4/13, 9/13, </w:t>
      </w:r>
      <w:r w:rsidR="00500A7B" w:rsidRPr="00C74002">
        <w:rPr>
          <w:rFonts w:ascii="Times New Roman" w:eastAsia="SimSun" w:hAnsi="Times New Roman"/>
          <w:color w:val="000000" w:themeColor="text1"/>
          <w:kern w:val="1"/>
          <w:lang w:eastAsia="zh-CN"/>
        </w:rPr>
        <w:t>6/14</w:t>
      </w:r>
      <w:r w:rsidR="008A6F5C">
        <w:rPr>
          <w:rFonts w:ascii="Times New Roman" w:eastAsia="SimSun" w:hAnsi="Times New Roman"/>
          <w:color w:val="000000" w:themeColor="text1"/>
          <w:kern w:val="1"/>
          <w:lang w:eastAsia="zh-CN"/>
        </w:rPr>
        <w:t>,</w:t>
      </w:r>
      <w:r w:rsidR="009913D9" w:rsidRPr="00C74002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 1/18</w:t>
      </w:r>
      <w:r w:rsidR="002E484D">
        <w:rPr>
          <w:rFonts w:ascii="Times New Roman" w:eastAsia="SimSun" w:hAnsi="Times New Roman"/>
          <w:color w:val="000000" w:themeColor="text1"/>
          <w:kern w:val="1"/>
          <w:lang w:eastAsia="zh-CN"/>
        </w:rPr>
        <w:t xml:space="preserve"> i 3</w:t>
      </w:r>
      <w:r w:rsidR="00EE11BB">
        <w:rPr>
          <w:rFonts w:ascii="Times New Roman" w:eastAsia="SimSun" w:hAnsi="Times New Roman"/>
          <w:color w:val="000000" w:themeColor="text1"/>
          <w:kern w:val="1"/>
          <w:lang w:eastAsia="zh-CN"/>
        </w:rPr>
        <w:t>/19</w:t>
      </w:r>
      <w:r w:rsidR="00500A7B" w:rsidRPr="00C74002">
        <w:rPr>
          <w:rFonts w:ascii="Times New Roman" w:eastAsia="SimSun" w:hAnsi="Times New Roman"/>
          <w:color w:val="000000" w:themeColor="text1"/>
          <w:kern w:val="1"/>
          <w:lang w:eastAsia="zh-CN"/>
        </w:rPr>
        <w:t>)</w:t>
      </w:r>
      <w:r w:rsidR="00500A7B" w:rsidRPr="00C74002">
        <w:rPr>
          <w:rFonts w:ascii="Times New Roman" w:eastAsia="Times New Roman" w:hAnsi="Times New Roman"/>
          <w:bCs/>
          <w:color w:val="000000" w:themeColor="text1"/>
          <w:lang w:eastAsia="hr-HR"/>
        </w:rPr>
        <w:t>, Gradsko v</w:t>
      </w:r>
      <w:r>
        <w:rPr>
          <w:rFonts w:ascii="Times New Roman" w:eastAsia="Times New Roman" w:hAnsi="Times New Roman"/>
          <w:bCs/>
          <w:color w:val="000000" w:themeColor="text1"/>
          <w:lang w:eastAsia="hr-HR"/>
        </w:rPr>
        <w:t xml:space="preserve">ijeće Grada Trogira na 24. sjednici održanoj dana 13. ožujka </w:t>
      </w:r>
      <w:r w:rsidR="00962B59">
        <w:rPr>
          <w:rFonts w:ascii="Times New Roman" w:eastAsia="Times New Roman" w:hAnsi="Times New Roman"/>
          <w:bCs/>
          <w:color w:val="000000" w:themeColor="text1"/>
          <w:lang w:eastAsia="hr-HR"/>
        </w:rPr>
        <w:t>2020</w:t>
      </w:r>
      <w:r w:rsidR="00DF33EA" w:rsidRPr="00C74002">
        <w:rPr>
          <w:rFonts w:ascii="Times New Roman" w:eastAsia="Times New Roman" w:hAnsi="Times New Roman"/>
          <w:bCs/>
          <w:color w:val="000000" w:themeColor="text1"/>
          <w:lang w:eastAsia="hr-HR"/>
        </w:rPr>
        <w:t>. godine donosi</w:t>
      </w:r>
    </w:p>
    <w:p w:rsidR="00500A7B" w:rsidRPr="00C74002" w:rsidRDefault="00500A7B" w:rsidP="00500A7B">
      <w:pPr>
        <w:spacing w:after="0"/>
        <w:ind w:firstLine="720"/>
        <w:rPr>
          <w:rFonts w:ascii="Times New Roman" w:eastAsia="Times New Roman" w:hAnsi="Times New Roman"/>
          <w:bCs/>
          <w:color w:val="000000" w:themeColor="text1"/>
          <w:lang w:eastAsia="hr-HR"/>
        </w:rPr>
      </w:pPr>
    </w:p>
    <w:p w:rsidR="009913D9" w:rsidRPr="00C74002" w:rsidRDefault="009913D9" w:rsidP="00500A7B">
      <w:pPr>
        <w:spacing w:after="0"/>
        <w:ind w:firstLine="720"/>
        <w:rPr>
          <w:rFonts w:ascii="Times New Roman" w:eastAsia="Times New Roman" w:hAnsi="Times New Roman"/>
          <w:bCs/>
          <w:color w:val="000000" w:themeColor="text1"/>
          <w:lang w:eastAsia="hr-HR"/>
        </w:rPr>
      </w:pPr>
    </w:p>
    <w:p w:rsidR="00500A7B" w:rsidRPr="00C74002" w:rsidRDefault="00DF33EA" w:rsidP="009913D9">
      <w:pPr>
        <w:jc w:val="center"/>
        <w:rPr>
          <w:rStyle w:val="Istaknuto"/>
          <w:rFonts w:ascii="Times New Roman" w:hAnsi="Times New Roman"/>
          <w:b/>
          <w:i w:val="0"/>
          <w:color w:val="000000" w:themeColor="text1"/>
        </w:rPr>
      </w:pPr>
      <w:r w:rsidRPr="00C74002">
        <w:rPr>
          <w:rStyle w:val="Istaknuto"/>
          <w:rFonts w:ascii="Times New Roman" w:hAnsi="Times New Roman"/>
          <w:b/>
          <w:i w:val="0"/>
          <w:color w:val="000000" w:themeColor="text1"/>
        </w:rPr>
        <w:t>I. Izmjene i dopune</w:t>
      </w:r>
      <w:r w:rsidR="00962B59">
        <w:rPr>
          <w:rStyle w:val="Istaknuto"/>
          <w:rFonts w:ascii="Times New Roman" w:hAnsi="Times New Roman"/>
          <w:b/>
          <w:i w:val="0"/>
          <w:color w:val="000000" w:themeColor="text1"/>
        </w:rPr>
        <w:t xml:space="preserve"> Proračuna Grada Trogira za 2020</w:t>
      </w:r>
      <w:r w:rsidRPr="00C74002">
        <w:rPr>
          <w:rStyle w:val="Istaknuto"/>
          <w:rFonts w:ascii="Times New Roman" w:hAnsi="Times New Roman"/>
          <w:b/>
          <w:i w:val="0"/>
          <w:color w:val="000000" w:themeColor="text1"/>
        </w:rPr>
        <w:t>.g.</w:t>
      </w:r>
    </w:p>
    <w:p w:rsidR="00741CE3" w:rsidRPr="00C74002" w:rsidRDefault="00741CE3" w:rsidP="00500A7B">
      <w:pPr>
        <w:pStyle w:val="Bezproreda"/>
        <w:spacing w:after="240"/>
        <w:jc w:val="center"/>
        <w:rPr>
          <w:color w:val="000000" w:themeColor="text1"/>
          <w:sz w:val="22"/>
        </w:rPr>
      </w:pPr>
    </w:p>
    <w:p w:rsidR="00500A7B" w:rsidRPr="00C74002" w:rsidRDefault="00500A7B" w:rsidP="00500A7B">
      <w:pPr>
        <w:pStyle w:val="Bezproreda"/>
        <w:spacing w:after="240"/>
        <w:jc w:val="center"/>
        <w:rPr>
          <w:color w:val="000000" w:themeColor="text1"/>
          <w:sz w:val="22"/>
        </w:rPr>
      </w:pPr>
      <w:r w:rsidRPr="00C74002">
        <w:rPr>
          <w:color w:val="000000" w:themeColor="text1"/>
          <w:sz w:val="22"/>
        </w:rPr>
        <w:t>Članak 1.</w:t>
      </w:r>
    </w:p>
    <w:p w:rsidR="00E50041" w:rsidRPr="00C74002" w:rsidRDefault="00DF33EA" w:rsidP="009913D9">
      <w:pPr>
        <w:pStyle w:val="Bezproreda"/>
        <w:spacing w:after="240"/>
        <w:rPr>
          <w:color w:val="000000" w:themeColor="text1"/>
          <w:sz w:val="22"/>
        </w:rPr>
      </w:pPr>
      <w:r w:rsidRPr="00C74002">
        <w:rPr>
          <w:color w:val="000000" w:themeColor="text1"/>
          <w:sz w:val="22"/>
        </w:rPr>
        <w:t>Članka 1.</w:t>
      </w:r>
      <w:r w:rsidR="00962B59">
        <w:rPr>
          <w:color w:val="000000" w:themeColor="text1"/>
          <w:sz w:val="22"/>
        </w:rPr>
        <w:t xml:space="preserve"> Proračuna Grada Trogira za 2020</w:t>
      </w:r>
      <w:r w:rsidRPr="00C74002">
        <w:rPr>
          <w:color w:val="000000" w:themeColor="text1"/>
          <w:sz w:val="22"/>
        </w:rPr>
        <w:t>.g. ( „Službeni glasnik Grada Trogira „</w:t>
      </w:r>
      <w:r w:rsidR="00D10CFE">
        <w:rPr>
          <w:color w:val="000000" w:themeColor="text1"/>
          <w:sz w:val="22"/>
        </w:rPr>
        <w:t xml:space="preserve"> br. 24/19</w:t>
      </w:r>
      <w:r w:rsidRPr="00C74002">
        <w:rPr>
          <w:color w:val="000000" w:themeColor="text1"/>
          <w:sz w:val="22"/>
        </w:rPr>
        <w:t>)</w:t>
      </w:r>
    </w:p>
    <w:p w:rsidR="00DF33EA" w:rsidRPr="00C74002" w:rsidRDefault="00DF33EA" w:rsidP="00DF33EA">
      <w:pPr>
        <w:ind w:hanging="360"/>
        <w:rPr>
          <w:rFonts w:ascii="Times New Roman" w:hAnsi="Times New Roman"/>
          <w:b/>
        </w:rPr>
      </w:pPr>
      <w:r w:rsidRPr="00C74002">
        <w:rPr>
          <w:rFonts w:ascii="Times New Roman" w:hAnsi="Times New Roman"/>
          <w:b/>
        </w:rPr>
        <w:t>A . RAČUN PRIHODA I RASHODA</w:t>
      </w:r>
    </w:p>
    <w:p w:rsidR="00DF33EA" w:rsidRPr="00C74002" w:rsidRDefault="00DF33EA" w:rsidP="00DF33EA">
      <w:pPr>
        <w:rPr>
          <w:rFonts w:ascii="Times New Roman" w:hAnsi="Times New Roman"/>
        </w:rPr>
      </w:pPr>
    </w:p>
    <w:tbl>
      <w:tblPr>
        <w:tblW w:w="99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0"/>
        <w:gridCol w:w="2400"/>
        <w:gridCol w:w="2760"/>
      </w:tblGrid>
      <w:tr w:rsidR="00DF33EA" w:rsidRPr="00C74002" w:rsidTr="00F91673">
        <w:trPr>
          <w:trHeight w:val="686"/>
        </w:trPr>
        <w:tc>
          <w:tcPr>
            <w:tcW w:w="4800" w:type="dxa"/>
          </w:tcPr>
          <w:p w:rsidR="00DF33EA" w:rsidRPr="00C74002" w:rsidRDefault="00DF33EA" w:rsidP="00F91673">
            <w:pPr>
              <w:rPr>
                <w:rFonts w:ascii="Times New Roman" w:hAnsi="Times New Roman"/>
              </w:rPr>
            </w:pPr>
          </w:p>
          <w:p w:rsidR="00DF33EA" w:rsidRPr="00C74002" w:rsidRDefault="00DF33EA" w:rsidP="00F91673">
            <w:pPr>
              <w:rPr>
                <w:rFonts w:ascii="Times New Roman" w:hAnsi="Times New Roman"/>
              </w:rPr>
            </w:pPr>
          </w:p>
        </w:tc>
        <w:tc>
          <w:tcPr>
            <w:tcW w:w="2400" w:type="dxa"/>
          </w:tcPr>
          <w:p w:rsidR="00DF33EA" w:rsidRPr="00C74002" w:rsidRDefault="00962B59" w:rsidP="00F916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PLAN PRORAČUNA ZA 2020</w:t>
            </w:r>
            <w:r w:rsidR="00DF33EA" w:rsidRPr="00C74002">
              <w:rPr>
                <w:rFonts w:ascii="Times New Roman" w:hAnsi="Times New Roman"/>
                <w:b/>
              </w:rPr>
              <w:t>.G.</w:t>
            </w:r>
          </w:p>
        </w:tc>
        <w:tc>
          <w:tcPr>
            <w:tcW w:w="2760" w:type="dxa"/>
          </w:tcPr>
          <w:p w:rsidR="00DF33EA" w:rsidRPr="00C74002" w:rsidRDefault="008A6F5C" w:rsidP="00F9167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</w:t>
            </w:r>
            <w:r w:rsidR="00DF33EA" w:rsidRPr="00C74002">
              <w:rPr>
                <w:rFonts w:ascii="Times New Roman" w:hAnsi="Times New Roman"/>
                <w:b/>
              </w:rPr>
              <w:t>. IZ</w:t>
            </w:r>
            <w:r w:rsidR="00962B59">
              <w:rPr>
                <w:rFonts w:ascii="Times New Roman" w:hAnsi="Times New Roman"/>
                <w:b/>
              </w:rPr>
              <w:t>MJENE I DOPUNE PRORAČUNA ZA 2020</w:t>
            </w:r>
            <w:r w:rsidR="00DF33EA" w:rsidRPr="00C74002">
              <w:rPr>
                <w:rFonts w:ascii="Times New Roman" w:hAnsi="Times New Roman"/>
                <w:b/>
              </w:rPr>
              <w:t>.G.</w:t>
            </w:r>
          </w:p>
          <w:p w:rsidR="00DF33EA" w:rsidRPr="00C74002" w:rsidRDefault="00DF33EA" w:rsidP="00F91673">
            <w:pPr>
              <w:jc w:val="center"/>
              <w:rPr>
                <w:rFonts w:ascii="Times New Roman" w:hAnsi="Times New Roman"/>
              </w:rPr>
            </w:pPr>
          </w:p>
        </w:tc>
      </w:tr>
      <w:tr w:rsidR="00DF33EA" w:rsidRPr="00C74002" w:rsidTr="00F91673">
        <w:tc>
          <w:tcPr>
            <w:tcW w:w="4800" w:type="dxa"/>
          </w:tcPr>
          <w:p w:rsidR="00DF33EA" w:rsidRPr="00C74002" w:rsidRDefault="00DF33EA" w:rsidP="00F91673">
            <w:pPr>
              <w:rPr>
                <w:rFonts w:ascii="Times New Roman" w:hAnsi="Times New Roman"/>
              </w:rPr>
            </w:pPr>
            <w:r w:rsidRPr="00C74002">
              <w:rPr>
                <w:rFonts w:ascii="Times New Roman" w:hAnsi="Times New Roman"/>
              </w:rPr>
              <w:t>PRIHODI POSLOVANJA</w:t>
            </w:r>
          </w:p>
        </w:tc>
        <w:tc>
          <w:tcPr>
            <w:tcW w:w="2400" w:type="dxa"/>
          </w:tcPr>
          <w:p w:rsidR="00DF33EA" w:rsidRPr="00C74002" w:rsidRDefault="00D10CFE" w:rsidP="00F916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112.545.784,00</w:t>
            </w:r>
          </w:p>
        </w:tc>
        <w:tc>
          <w:tcPr>
            <w:tcW w:w="2760" w:type="dxa"/>
          </w:tcPr>
          <w:p w:rsidR="00DF33EA" w:rsidRPr="00C74002" w:rsidRDefault="00625603" w:rsidP="00F916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121.788</w:t>
            </w:r>
            <w:r w:rsidR="00B44E44">
              <w:rPr>
                <w:rFonts w:ascii="Times New Roman" w:hAnsi="Times New Roman"/>
              </w:rPr>
              <w:t>.520,00</w:t>
            </w:r>
          </w:p>
        </w:tc>
      </w:tr>
      <w:tr w:rsidR="00DF33EA" w:rsidRPr="00C74002" w:rsidTr="00F91673">
        <w:tc>
          <w:tcPr>
            <w:tcW w:w="4800" w:type="dxa"/>
          </w:tcPr>
          <w:p w:rsidR="00DF33EA" w:rsidRPr="00C74002" w:rsidRDefault="00DF33EA" w:rsidP="00F91673">
            <w:pPr>
              <w:rPr>
                <w:rFonts w:ascii="Times New Roman" w:hAnsi="Times New Roman"/>
              </w:rPr>
            </w:pPr>
            <w:r w:rsidRPr="00C74002">
              <w:rPr>
                <w:rFonts w:ascii="Times New Roman" w:hAnsi="Times New Roman"/>
              </w:rPr>
              <w:t>PRIHODI OD PRODAJE NEFINANC.IMOVINE</w:t>
            </w:r>
          </w:p>
        </w:tc>
        <w:tc>
          <w:tcPr>
            <w:tcW w:w="2400" w:type="dxa"/>
          </w:tcPr>
          <w:p w:rsidR="00DF33EA" w:rsidRPr="00C74002" w:rsidRDefault="00D10CFE" w:rsidP="00F916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</w:t>
            </w:r>
            <w:r w:rsidR="00DF33EA" w:rsidRPr="00C74002">
              <w:rPr>
                <w:rFonts w:ascii="Times New Roman" w:hAnsi="Times New Roman"/>
              </w:rPr>
              <w:t>.000,00</w:t>
            </w:r>
          </w:p>
        </w:tc>
        <w:tc>
          <w:tcPr>
            <w:tcW w:w="2760" w:type="dxa"/>
          </w:tcPr>
          <w:p w:rsidR="00DF33EA" w:rsidRPr="00C74002" w:rsidRDefault="00B44E44" w:rsidP="00F916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845.000,00</w:t>
            </w:r>
          </w:p>
        </w:tc>
      </w:tr>
      <w:tr w:rsidR="00DF33EA" w:rsidRPr="00C74002" w:rsidTr="00F91673">
        <w:tc>
          <w:tcPr>
            <w:tcW w:w="4800" w:type="dxa"/>
          </w:tcPr>
          <w:p w:rsidR="00DF33EA" w:rsidRPr="00C74002" w:rsidRDefault="00DF33EA" w:rsidP="00F91673">
            <w:pPr>
              <w:rPr>
                <w:rFonts w:ascii="Times New Roman" w:hAnsi="Times New Roman"/>
              </w:rPr>
            </w:pPr>
            <w:r w:rsidRPr="00C74002">
              <w:rPr>
                <w:rFonts w:ascii="Times New Roman" w:hAnsi="Times New Roman"/>
              </w:rPr>
              <w:t>RASHODI POSLOVANJA</w:t>
            </w:r>
          </w:p>
        </w:tc>
        <w:tc>
          <w:tcPr>
            <w:tcW w:w="2400" w:type="dxa"/>
          </w:tcPr>
          <w:p w:rsidR="00DF33EA" w:rsidRPr="00C74002" w:rsidRDefault="00D10CFE" w:rsidP="00F916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70.978.530,00</w:t>
            </w:r>
          </w:p>
        </w:tc>
        <w:tc>
          <w:tcPr>
            <w:tcW w:w="2760" w:type="dxa"/>
          </w:tcPr>
          <w:p w:rsidR="00DF33EA" w:rsidRPr="00C74002" w:rsidRDefault="00625603" w:rsidP="00F916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72.119</w:t>
            </w:r>
            <w:r w:rsidR="00B44E44">
              <w:rPr>
                <w:rFonts w:ascii="Times New Roman" w:hAnsi="Times New Roman"/>
              </w:rPr>
              <w:t>.531,00</w:t>
            </w:r>
          </w:p>
        </w:tc>
      </w:tr>
      <w:tr w:rsidR="00DF33EA" w:rsidRPr="00C74002" w:rsidTr="00F91673">
        <w:tc>
          <w:tcPr>
            <w:tcW w:w="4800" w:type="dxa"/>
          </w:tcPr>
          <w:p w:rsidR="00DF33EA" w:rsidRPr="00C74002" w:rsidRDefault="00DF33EA" w:rsidP="00F91673">
            <w:pPr>
              <w:rPr>
                <w:rFonts w:ascii="Times New Roman" w:hAnsi="Times New Roman"/>
              </w:rPr>
            </w:pPr>
            <w:r w:rsidRPr="00C74002">
              <w:rPr>
                <w:rFonts w:ascii="Times New Roman" w:hAnsi="Times New Roman"/>
              </w:rPr>
              <w:t>RASHODI ZA NABAVU NEFINANC.IMOVINE</w:t>
            </w:r>
          </w:p>
        </w:tc>
        <w:tc>
          <w:tcPr>
            <w:tcW w:w="2400" w:type="dxa"/>
          </w:tcPr>
          <w:p w:rsidR="00DF33EA" w:rsidRPr="00C74002" w:rsidRDefault="00D10CFE" w:rsidP="00F916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54.012.254,00</w:t>
            </w:r>
          </w:p>
        </w:tc>
        <w:tc>
          <w:tcPr>
            <w:tcW w:w="2760" w:type="dxa"/>
          </w:tcPr>
          <w:p w:rsidR="00DF33EA" w:rsidRPr="00C74002" w:rsidRDefault="00B44E44" w:rsidP="00F916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58.369.254,00</w:t>
            </w:r>
          </w:p>
        </w:tc>
      </w:tr>
      <w:tr w:rsidR="00DF33EA" w:rsidRPr="00C74002" w:rsidTr="00F91673">
        <w:tc>
          <w:tcPr>
            <w:tcW w:w="4800" w:type="dxa"/>
          </w:tcPr>
          <w:p w:rsidR="00DF33EA" w:rsidRPr="00C74002" w:rsidRDefault="00DF33EA" w:rsidP="00F91673">
            <w:pPr>
              <w:rPr>
                <w:rFonts w:ascii="Times New Roman" w:hAnsi="Times New Roman"/>
                <w:b/>
              </w:rPr>
            </w:pPr>
            <w:r w:rsidRPr="00C74002">
              <w:rPr>
                <w:rFonts w:ascii="Times New Roman" w:hAnsi="Times New Roman"/>
                <w:b/>
              </w:rPr>
              <w:t xml:space="preserve">RAZLIKA </w:t>
            </w:r>
          </w:p>
        </w:tc>
        <w:tc>
          <w:tcPr>
            <w:tcW w:w="2400" w:type="dxa"/>
          </w:tcPr>
          <w:p w:rsidR="00DF33EA" w:rsidRPr="00C74002" w:rsidRDefault="00D10CFE" w:rsidP="00F9167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-11.600</w:t>
            </w:r>
            <w:r w:rsidR="00BC2A81">
              <w:rPr>
                <w:rFonts w:ascii="Times New Roman" w:hAnsi="Times New Roman"/>
                <w:b/>
              </w:rPr>
              <w:t>.000,00</w:t>
            </w:r>
          </w:p>
        </w:tc>
        <w:tc>
          <w:tcPr>
            <w:tcW w:w="2760" w:type="dxa"/>
          </w:tcPr>
          <w:p w:rsidR="00DF33EA" w:rsidRPr="00C74002" w:rsidRDefault="00B44E44" w:rsidP="00F9167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-7.855.265,00</w:t>
            </w:r>
          </w:p>
        </w:tc>
      </w:tr>
    </w:tbl>
    <w:p w:rsidR="00DF33EA" w:rsidRPr="00C74002" w:rsidRDefault="00DF33EA" w:rsidP="00DF33EA">
      <w:pPr>
        <w:rPr>
          <w:rFonts w:ascii="Times New Roman" w:hAnsi="Times New Roman"/>
        </w:rPr>
      </w:pPr>
    </w:p>
    <w:p w:rsidR="00DF33EA" w:rsidRPr="00C74002" w:rsidRDefault="00DF33EA" w:rsidP="00DF33EA">
      <w:pPr>
        <w:ind w:left="-360"/>
        <w:rPr>
          <w:rFonts w:ascii="Times New Roman" w:hAnsi="Times New Roman"/>
          <w:b/>
        </w:rPr>
      </w:pPr>
      <w:r w:rsidRPr="00C74002">
        <w:rPr>
          <w:rFonts w:ascii="Times New Roman" w:hAnsi="Times New Roman"/>
          <w:b/>
        </w:rPr>
        <w:t>B. RAČUN ZADUŽIVANJA/FINANCIRANJA</w:t>
      </w:r>
    </w:p>
    <w:p w:rsidR="00DF33EA" w:rsidRPr="00C74002" w:rsidRDefault="00DF33EA" w:rsidP="00DF33EA">
      <w:pPr>
        <w:ind w:left="-360"/>
        <w:rPr>
          <w:rFonts w:ascii="Times New Roman" w:hAnsi="Times New Roman"/>
        </w:rPr>
      </w:pPr>
    </w:p>
    <w:tbl>
      <w:tblPr>
        <w:tblW w:w="1006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8"/>
        <w:gridCol w:w="2400"/>
        <w:gridCol w:w="2760"/>
      </w:tblGrid>
      <w:tr w:rsidR="00DF33EA" w:rsidRPr="00C74002" w:rsidTr="00F91673">
        <w:tc>
          <w:tcPr>
            <w:tcW w:w="4908" w:type="dxa"/>
          </w:tcPr>
          <w:p w:rsidR="00DF33EA" w:rsidRPr="00C74002" w:rsidRDefault="00DF33EA" w:rsidP="00F91673">
            <w:pPr>
              <w:rPr>
                <w:rFonts w:ascii="Times New Roman" w:hAnsi="Times New Roman"/>
              </w:rPr>
            </w:pPr>
            <w:r w:rsidRPr="00C74002">
              <w:rPr>
                <w:rFonts w:ascii="Times New Roman" w:hAnsi="Times New Roman"/>
              </w:rPr>
              <w:t xml:space="preserve">PRIMICI OD FINANCIJSKE IMOVINE I ZADUŽIVANJA </w:t>
            </w:r>
          </w:p>
        </w:tc>
        <w:tc>
          <w:tcPr>
            <w:tcW w:w="2400" w:type="dxa"/>
          </w:tcPr>
          <w:p w:rsidR="00DF33EA" w:rsidRPr="00C74002" w:rsidRDefault="00D10CFE" w:rsidP="00F916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6.350.000,00</w:t>
            </w:r>
          </w:p>
        </w:tc>
        <w:tc>
          <w:tcPr>
            <w:tcW w:w="2760" w:type="dxa"/>
          </w:tcPr>
          <w:p w:rsidR="00DF33EA" w:rsidRPr="00C74002" w:rsidRDefault="00B44E44" w:rsidP="00F916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7.450.000,00</w:t>
            </w:r>
          </w:p>
        </w:tc>
      </w:tr>
      <w:tr w:rsidR="00DF33EA" w:rsidRPr="00C74002" w:rsidTr="00F91673">
        <w:tc>
          <w:tcPr>
            <w:tcW w:w="4908" w:type="dxa"/>
          </w:tcPr>
          <w:p w:rsidR="00DF33EA" w:rsidRPr="00C74002" w:rsidRDefault="00DF33EA" w:rsidP="00F91673">
            <w:pPr>
              <w:rPr>
                <w:rFonts w:ascii="Times New Roman" w:hAnsi="Times New Roman"/>
              </w:rPr>
            </w:pPr>
            <w:r w:rsidRPr="00C74002">
              <w:rPr>
                <w:rFonts w:ascii="Times New Roman" w:hAnsi="Times New Roman"/>
              </w:rPr>
              <w:t>IZDACI ZA FINANCIJSKU IMOVINU I OTPLATE ZAJMOVA</w:t>
            </w:r>
          </w:p>
        </w:tc>
        <w:tc>
          <w:tcPr>
            <w:tcW w:w="2400" w:type="dxa"/>
          </w:tcPr>
          <w:p w:rsidR="00DF33EA" w:rsidRPr="00C74002" w:rsidRDefault="00D10CFE" w:rsidP="00F916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2760" w:type="dxa"/>
          </w:tcPr>
          <w:p w:rsidR="00DF33EA" w:rsidRPr="00C74002" w:rsidRDefault="00B44E44" w:rsidP="00F916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DF33EA" w:rsidRPr="00C74002" w:rsidTr="00F91673">
        <w:tc>
          <w:tcPr>
            <w:tcW w:w="4908" w:type="dxa"/>
          </w:tcPr>
          <w:p w:rsidR="00DF33EA" w:rsidRPr="00C74002" w:rsidRDefault="00DF33EA" w:rsidP="00F91673">
            <w:pPr>
              <w:rPr>
                <w:rFonts w:ascii="Times New Roman" w:hAnsi="Times New Roman"/>
                <w:b/>
              </w:rPr>
            </w:pPr>
            <w:r w:rsidRPr="00C74002">
              <w:rPr>
                <w:rFonts w:ascii="Times New Roman" w:hAnsi="Times New Roman"/>
                <w:b/>
              </w:rPr>
              <w:t>NETO ZADUŽIVANJE/ FINANCIRANJE</w:t>
            </w:r>
          </w:p>
        </w:tc>
        <w:tc>
          <w:tcPr>
            <w:tcW w:w="2400" w:type="dxa"/>
          </w:tcPr>
          <w:p w:rsidR="00DF33EA" w:rsidRPr="00C74002" w:rsidRDefault="00D10CFE" w:rsidP="00F9167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6.35</w:t>
            </w:r>
            <w:r w:rsidR="00BC2A81">
              <w:rPr>
                <w:rFonts w:ascii="Times New Roman" w:hAnsi="Times New Roman"/>
                <w:b/>
              </w:rPr>
              <w:t>0.000,00</w:t>
            </w:r>
          </w:p>
        </w:tc>
        <w:tc>
          <w:tcPr>
            <w:tcW w:w="2760" w:type="dxa"/>
          </w:tcPr>
          <w:p w:rsidR="00DF33EA" w:rsidRPr="00C74002" w:rsidRDefault="00B44E44" w:rsidP="00F91673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7.450.000,00</w:t>
            </w:r>
          </w:p>
        </w:tc>
      </w:tr>
    </w:tbl>
    <w:p w:rsidR="00802263" w:rsidRDefault="00802263" w:rsidP="00C74002">
      <w:pPr>
        <w:tabs>
          <w:tab w:val="left" w:pos="-180"/>
        </w:tabs>
        <w:rPr>
          <w:rFonts w:ascii="Times New Roman" w:hAnsi="Times New Roman"/>
        </w:rPr>
      </w:pPr>
    </w:p>
    <w:p w:rsidR="00802263" w:rsidRDefault="00802263" w:rsidP="00C74002">
      <w:pPr>
        <w:tabs>
          <w:tab w:val="left" w:pos="-180"/>
        </w:tabs>
        <w:rPr>
          <w:rFonts w:ascii="Times New Roman" w:hAnsi="Times New Roman"/>
        </w:rPr>
      </w:pPr>
    </w:p>
    <w:p w:rsidR="00C74002" w:rsidRPr="00802263" w:rsidRDefault="00D10CFE" w:rsidP="00C74002">
      <w:pPr>
        <w:tabs>
          <w:tab w:val="left" w:pos="-180"/>
        </w:tabs>
        <w:rPr>
          <w:rFonts w:ascii="Times New Roman" w:hAnsi="Times New Roman"/>
          <w:b/>
        </w:rPr>
      </w:pPr>
      <w:r w:rsidRPr="00802263">
        <w:rPr>
          <w:rFonts w:ascii="Times New Roman" w:hAnsi="Times New Roman"/>
          <w:b/>
        </w:rPr>
        <w:t xml:space="preserve">C. RASPOLOŽIVA </w:t>
      </w:r>
      <w:r w:rsidR="00802263" w:rsidRPr="00802263">
        <w:rPr>
          <w:rFonts w:ascii="Times New Roman" w:hAnsi="Times New Roman"/>
          <w:b/>
        </w:rPr>
        <w:t xml:space="preserve">SREDSTVA IZ PRETHODNIH GODINA </w:t>
      </w:r>
    </w:p>
    <w:p w:rsidR="00802263" w:rsidRDefault="00802263" w:rsidP="00C74002">
      <w:pPr>
        <w:tabs>
          <w:tab w:val="left" w:pos="-180"/>
        </w:tabs>
        <w:rPr>
          <w:rFonts w:ascii="Times New Roman" w:hAnsi="Times New Roman"/>
        </w:rPr>
      </w:pPr>
    </w:p>
    <w:tbl>
      <w:tblPr>
        <w:tblW w:w="1006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8"/>
        <w:gridCol w:w="2400"/>
        <w:gridCol w:w="2760"/>
      </w:tblGrid>
      <w:tr w:rsidR="00802263" w:rsidRPr="00C74002" w:rsidTr="004A4190">
        <w:tc>
          <w:tcPr>
            <w:tcW w:w="4908" w:type="dxa"/>
          </w:tcPr>
          <w:p w:rsidR="00802263" w:rsidRPr="00C74002" w:rsidRDefault="00802263" w:rsidP="004A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UKUPAN DONOS VIŠKA/MANJKA IZ PRETHODNE/IH GODINA </w:t>
            </w:r>
            <w:r w:rsidRPr="00C7400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00" w:type="dxa"/>
          </w:tcPr>
          <w:p w:rsidR="00802263" w:rsidRPr="00C74002" w:rsidRDefault="00802263" w:rsidP="004A419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5.250.000,00</w:t>
            </w:r>
          </w:p>
        </w:tc>
        <w:tc>
          <w:tcPr>
            <w:tcW w:w="2760" w:type="dxa"/>
          </w:tcPr>
          <w:p w:rsidR="00802263" w:rsidRPr="00C74002" w:rsidRDefault="00B44E44" w:rsidP="004A419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405.265,00</w:t>
            </w:r>
          </w:p>
        </w:tc>
      </w:tr>
      <w:tr w:rsidR="00802263" w:rsidRPr="00C74002" w:rsidTr="004A4190">
        <w:tc>
          <w:tcPr>
            <w:tcW w:w="4908" w:type="dxa"/>
          </w:tcPr>
          <w:p w:rsidR="00802263" w:rsidRPr="00C74002" w:rsidRDefault="00802263" w:rsidP="004A41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VIŠAK/MANJAK IZ PRETHODNE/IH GODINA KOJI ĆE SE RASPOREDITI/POKRITI </w:t>
            </w:r>
          </w:p>
        </w:tc>
        <w:tc>
          <w:tcPr>
            <w:tcW w:w="2400" w:type="dxa"/>
          </w:tcPr>
          <w:p w:rsidR="00802263" w:rsidRPr="00C74002" w:rsidRDefault="00802263" w:rsidP="004A419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5.250.000,00</w:t>
            </w:r>
          </w:p>
        </w:tc>
        <w:tc>
          <w:tcPr>
            <w:tcW w:w="2760" w:type="dxa"/>
          </w:tcPr>
          <w:p w:rsidR="00802263" w:rsidRPr="00C74002" w:rsidRDefault="00B44E44" w:rsidP="004A419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405.265,00</w:t>
            </w:r>
          </w:p>
        </w:tc>
      </w:tr>
      <w:tr w:rsidR="00802263" w:rsidRPr="00C74002" w:rsidTr="004A4190">
        <w:tc>
          <w:tcPr>
            <w:tcW w:w="4908" w:type="dxa"/>
          </w:tcPr>
          <w:p w:rsidR="00802263" w:rsidRPr="00C74002" w:rsidRDefault="00802263" w:rsidP="004A4190">
            <w:pPr>
              <w:spacing w:after="0"/>
              <w:jc w:val="left"/>
              <w:rPr>
                <w:rFonts w:ascii="Times New Roman" w:hAnsi="Times New Roman"/>
                <w:b/>
              </w:rPr>
            </w:pPr>
            <w:r w:rsidRPr="00C74002">
              <w:rPr>
                <w:rFonts w:ascii="Times New Roman" w:hAnsi="Times New Roman"/>
                <w:b/>
              </w:rPr>
              <w:t>VIŠAK/MANJAK+ NE</w:t>
            </w:r>
            <w:r>
              <w:rPr>
                <w:rFonts w:ascii="Times New Roman" w:hAnsi="Times New Roman"/>
                <w:b/>
              </w:rPr>
              <w:t xml:space="preserve">TO FINANCIRANJE+RASPOLOŽIVA SREDSTVA IZ PRETHODNIH GODINA </w:t>
            </w:r>
          </w:p>
        </w:tc>
        <w:tc>
          <w:tcPr>
            <w:tcW w:w="2400" w:type="dxa"/>
          </w:tcPr>
          <w:p w:rsidR="00802263" w:rsidRPr="00C74002" w:rsidRDefault="00802263" w:rsidP="004A4190">
            <w:pPr>
              <w:jc w:val="right"/>
              <w:rPr>
                <w:rFonts w:ascii="Times New Roman" w:hAnsi="Times New Roman"/>
                <w:b/>
              </w:rPr>
            </w:pPr>
            <w:r w:rsidRPr="00C74002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2760" w:type="dxa"/>
          </w:tcPr>
          <w:p w:rsidR="00802263" w:rsidRPr="00C74002" w:rsidRDefault="00802263" w:rsidP="004A4190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</w:tr>
    </w:tbl>
    <w:p w:rsidR="00802263" w:rsidRDefault="00802263" w:rsidP="00C74002">
      <w:pPr>
        <w:tabs>
          <w:tab w:val="left" w:pos="-180"/>
        </w:tabs>
      </w:pPr>
    </w:p>
    <w:p w:rsidR="00C74002" w:rsidRDefault="00C74002" w:rsidP="00C74002">
      <w:pPr>
        <w:tabs>
          <w:tab w:val="left" w:pos="-180"/>
        </w:tabs>
      </w:pPr>
    </w:p>
    <w:p w:rsidR="00C74002" w:rsidRPr="00C74002" w:rsidRDefault="00C74002" w:rsidP="00C74002">
      <w:pPr>
        <w:tabs>
          <w:tab w:val="left" w:pos="-180"/>
        </w:tabs>
        <w:ind w:left="-360"/>
        <w:jc w:val="center"/>
        <w:rPr>
          <w:rFonts w:ascii="Times New Roman" w:hAnsi="Times New Roman"/>
          <w:b/>
        </w:rPr>
      </w:pPr>
      <w:r w:rsidRPr="00C74002">
        <w:rPr>
          <w:rFonts w:ascii="Times New Roman" w:hAnsi="Times New Roman"/>
          <w:b/>
        </w:rPr>
        <w:t xml:space="preserve">I. POSEBAN DIO PRORAČUNA  </w:t>
      </w:r>
    </w:p>
    <w:p w:rsidR="00C74002" w:rsidRPr="00C74002" w:rsidRDefault="00C74002" w:rsidP="00C74002">
      <w:pPr>
        <w:tabs>
          <w:tab w:val="left" w:pos="-180"/>
        </w:tabs>
        <w:ind w:left="-360"/>
        <w:jc w:val="center"/>
        <w:rPr>
          <w:rFonts w:ascii="Times New Roman" w:hAnsi="Times New Roman"/>
          <w:b/>
        </w:rPr>
      </w:pPr>
    </w:p>
    <w:p w:rsidR="00C74002" w:rsidRPr="00C74002" w:rsidRDefault="00C74002" w:rsidP="00C74002">
      <w:pPr>
        <w:tabs>
          <w:tab w:val="left" w:pos="-180"/>
        </w:tabs>
        <w:ind w:left="-360"/>
        <w:jc w:val="center"/>
        <w:rPr>
          <w:rFonts w:ascii="Times New Roman" w:hAnsi="Times New Roman"/>
        </w:rPr>
      </w:pPr>
      <w:r w:rsidRPr="00C74002">
        <w:rPr>
          <w:rFonts w:ascii="Times New Roman" w:hAnsi="Times New Roman"/>
        </w:rPr>
        <w:t>Članak 2.</w:t>
      </w:r>
    </w:p>
    <w:p w:rsidR="00C74002" w:rsidRPr="00C74002" w:rsidRDefault="00C74002" w:rsidP="00C74002">
      <w:pPr>
        <w:tabs>
          <w:tab w:val="left" w:pos="-180"/>
        </w:tabs>
        <w:rPr>
          <w:rFonts w:ascii="Times New Roman" w:hAnsi="Times New Roman"/>
        </w:rPr>
      </w:pPr>
    </w:p>
    <w:p w:rsidR="00C74002" w:rsidRPr="00C74002" w:rsidRDefault="00C74002" w:rsidP="00C74002">
      <w:pPr>
        <w:tabs>
          <w:tab w:val="left" w:pos="-180"/>
        </w:tabs>
        <w:rPr>
          <w:rFonts w:ascii="Times New Roman" w:hAnsi="Times New Roman"/>
        </w:rPr>
      </w:pPr>
      <w:r w:rsidRPr="00C74002">
        <w:rPr>
          <w:rFonts w:ascii="Times New Roman" w:hAnsi="Times New Roman"/>
        </w:rPr>
        <w:t>Članak 5. se mijenja i glasi:</w:t>
      </w:r>
    </w:p>
    <w:p w:rsidR="00C74002" w:rsidRPr="00C74002" w:rsidRDefault="00C74002" w:rsidP="00C74002">
      <w:pPr>
        <w:tabs>
          <w:tab w:val="left" w:pos="-180"/>
        </w:tabs>
        <w:rPr>
          <w:rFonts w:ascii="Times New Roman" w:hAnsi="Times New Roman"/>
        </w:rPr>
      </w:pPr>
      <w:r w:rsidRPr="00C74002">
        <w:rPr>
          <w:rFonts w:ascii="Times New Roman" w:hAnsi="Times New Roman"/>
        </w:rPr>
        <w:t xml:space="preserve"> Rashodi </w:t>
      </w:r>
      <w:r w:rsidR="00962B59">
        <w:rPr>
          <w:rFonts w:ascii="Times New Roman" w:hAnsi="Times New Roman"/>
        </w:rPr>
        <w:t xml:space="preserve">i izdaci Proračuna u svoti od </w:t>
      </w:r>
      <w:r w:rsidR="00625603">
        <w:rPr>
          <w:rFonts w:ascii="Times New Roman" w:hAnsi="Times New Roman"/>
        </w:rPr>
        <w:t>130.488.785</w:t>
      </w:r>
      <w:r w:rsidR="00995095">
        <w:rPr>
          <w:rFonts w:ascii="Times New Roman" w:hAnsi="Times New Roman"/>
        </w:rPr>
        <w:t xml:space="preserve"> </w:t>
      </w:r>
      <w:r w:rsidRPr="00C74002">
        <w:rPr>
          <w:rFonts w:ascii="Times New Roman" w:hAnsi="Times New Roman"/>
        </w:rPr>
        <w:t>kn raspoređuju se po Upravnim odjelima, korisnicima, programima, aktivnostima i namjenama u Posebnom dijelu Proračuna (Prilog: Poseban dio proračuna).</w:t>
      </w:r>
    </w:p>
    <w:p w:rsidR="00E50041" w:rsidRDefault="00E50041" w:rsidP="00C74002">
      <w:pPr>
        <w:pStyle w:val="Bezproreda"/>
        <w:rPr>
          <w:color w:val="000000" w:themeColor="text1"/>
          <w:sz w:val="22"/>
        </w:rPr>
      </w:pPr>
    </w:p>
    <w:p w:rsidR="00E50041" w:rsidRPr="00734BBC" w:rsidRDefault="00E50041" w:rsidP="00E50041">
      <w:pPr>
        <w:pStyle w:val="Bezproreda"/>
        <w:jc w:val="left"/>
        <w:rPr>
          <w:i/>
          <w:color w:val="000000"/>
        </w:rPr>
      </w:pPr>
    </w:p>
    <w:p w:rsidR="007D3409" w:rsidRDefault="007D3409" w:rsidP="007D3409">
      <w:pPr>
        <w:ind w:left="-360"/>
        <w:jc w:val="center"/>
        <w:rPr>
          <w:rFonts w:ascii="Times New Roman" w:hAnsi="Times New Roman"/>
          <w:b/>
        </w:rPr>
      </w:pPr>
      <w:r w:rsidRPr="007D3409">
        <w:rPr>
          <w:rFonts w:ascii="Times New Roman" w:hAnsi="Times New Roman"/>
          <w:b/>
        </w:rPr>
        <w:t>II.</w:t>
      </w:r>
      <w:r>
        <w:rPr>
          <w:rFonts w:ascii="Times New Roman" w:hAnsi="Times New Roman"/>
          <w:b/>
        </w:rPr>
        <w:t xml:space="preserve">  PRIJELAZNE I ZAVRŠNE ODREDBE</w:t>
      </w:r>
    </w:p>
    <w:p w:rsidR="007D3409" w:rsidRPr="007D3409" w:rsidRDefault="007D3409" w:rsidP="007D3409">
      <w:pPr>
        <w:ind w:left="-360"/>
        <w:jc w:val="center"/>
        <w:rPr>
          <w:rFonts w:ascii="Times New Roman" w:hAnsi="Times New Roman"/>
          <w:b/>
        </w:rPr>
      </w:pPr>
    </w:p>
    <w:p w:rsidR="007D3409" w:rsidRDefault="007D3409" w:rsidP="00962B59">
      <w:pPr>
        <w:ind w:left="-360"/>
        <w:jc w:val="center"/>
        <w:rPr>
          <w:rFonts w:ascii="Times New Roman" w:hAnsi="Times New Roman"/>
        </w:rPr>
      </w:pPr>
      <w:r w:rsidRPr="007D3409">
        <w:rPr>
          <w:rFonts w:ascii="Times New Roman" w:hAnsi="Times New Roman"/>
        </w:rPr>
        <w:t xml:space="preserve">Članak 3. </w:t>
      </w:r>
    </w:p>
    <w:p w:rsidR="00962B59" w:rsidRPr="007D3409" w:rsidRDefault="00962B59" w:rsidP="00962B59">
      <w:pPr>
        <w:ind w:left="-360"/>
        <w:jc w:val="center"/>
        <w:rPr>
          <w:rFonts w:ascii="Times New Roman" w:hAnsi="Times New Roman"/>
        </w:rPr>
      </w:pPr>
    </w:p>
    <w:p w:rsidR="007D3409" w:rsidRPr="007D3409" w:rsidRDefault="007D3409" w:rsidP="007D3409">
      <w:pPr>
        <w:ind w:left="-360"/>
        <w:rPr>
          <w:rFonts w:ascii="Times New Roman" w:hAnsi="Times New Roman"/>
        </w:rPr>
      </w:pPr>
      <w:r w:rsidRPr="007D3409">
        <w:rPr>
          <w:rFonts w:ascii="Times New Roman" w:hAnsi="Times New Roman"/>
        </w:rPr>
        <w:t xml:space="preserve"> I. Izmjene i dopune</w:t>
      </w:r>
      <w:r w:rsidR="00962B59">
        <w:rPr>
          <w:rFonts w:ascii="Times New Roman" w:hAnsi="Times New Roman"/>
        </w:rPr>
        <w:t xml:space="preserve"> Proračuna Grada Trogira za 2020</w:t>
      </w:r>
      <w:r w:rsidRPr="007D3409">
        <w:rPr>
          <w:rFonts w:ascii="Times New Roman" w:hAnsi="Times New Roman"/>
        </w:rPr>
        <w:t>.godinu stupaju na snagu prvog dana od dana  objave  u „Službenom glasniku Grada Trogira“.</w:t>
      </w:r>
    </w:p>
    <w:p w:rsidR="007D3409" w:rsidRDefault="007D3409" w:rsidP="007D3409">
      <w:pPr>
        <w:ind w:left="-360"/>
      </w:pPr>
    </w:p>
    <w:p w:rsidR="00500A7B" w:rsidRDefault="00500A7B" w:rsidP="00500A7B">
      <w:pPr>
        <w:pStyle w:val="Bezproreda"/>
        <w:rPr>
          <w:color w:val="000000" w:themeColor="text1"/>
          <w:sz w:val="22"/>
        </w:rPr>
      </w:pPr>
    </w:p>
    <w:p w:rsidR="00E50041" w:rsidRPr="00734BBC" w:rsidRDefault="00E50041" w:rsidP="00500A7B">
      <w:pPr>
        <w:pStyle w:val="Bezproreda"/>
        <w:rPr>
          <w:color w:val="000000" w:themeColor="text1"/>
          <w:sz w:val="22"/>
        </w:rPr>
      </w:pPr>
    </w:p>
    <w:p w:rsidR="00500A7B" w:rsidRPr="00734BBC" w:rsidRDefault="00500A7B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  <w:bookmarkStart w:id="1" w:name="_Hlk505148866"/>
      <w:r w:rsidRPr="00734BBC">
        <w:rPr>
          <w:rFonts w:ascii="Times New Roman" w:eastAsia="Times New Roman" w:hAnsi="Times New Roman"/>
          <w:color w:val="000000" w:themeColor="text1"/>
        </w:rPr>
        <w:t xml:space="preserve">KLASA: </w:t>
      </w:r>
      <w:r w:rsidR="00FD7664">
        <w:rPr>
          <w:rFonts w:ascii="Times New Roman" w:eastAsia="Times New Roman" w:hAnsi="Times New Roman"/>
          <w:color w:val="000000" w:themeColor="text1"/>
        </w:rPr>
        <w:t>400-06/19-01/4</w:t>
      </w:r>
    </w:p>
    <w:p w:rsidR="00500A7B" w:rsidRPr="00734BBC" w:rsidRDefault="00500A7B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  <w:r w:rsidRPr="00734BBC">
        <w:rPr>
          <w:rFonts w:ascii="Times New Roman" w:eastAsia="Times New Roman" w:hAnsi="Times New Roman"/>
          <w:color w:val="000000" w:themeColor="text1"/>
        </w:rPr>
        <w:t xml:space="preserve">URBROJ: </w:t>
      </w:r>
      <w:r w:rsidR="00FD7664">
        <w:rPr>
          <w:rFonts w:ascii="Times New Roman" w:eastAsia="Times New Roman" w:hAnsi="Times New Roman"/>
          <w:color w:val="000000" w:themeColor="text1"/>
        </w:rPr>
        <w:t>2184/01-31/01-20-5</w:t>
      </w:r>
    </w:p>
    <w:p w:rsidR="00500A7B" w:rsidRDefault="00FD7664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Trogir, 13. ožujka </w:t>
      </w:r>
      <w:r w:rsidR="00962B59">
        <w:rPr>
          <w:rFonts w:ascii="Times New Roman" w:eastAsia="Times New Roman" w:hAnsi="Times New Roman"/>
          <w:color w:val="000000" w:themeColor="text1"/>
        </w:rPr>
        <w:t>2020</w:t>
      </w:r>
      <w:r w:rsidR="00500A7B" w:rsidRPr="00734BBC">
        <w:rPr>
          <w:rFonts w:ascii="Times New Roman" w:eastAsia="Times New Roman" w:hAnsi="Times New Roman"/>
          <w:color w:val="000000" w:themeColor="text1"/>
        </w:rPr>
        <w:t>. godine</w:t>
      </w:r>
    </w:p>
    <w:p w:rsidR="00EB24F6" w:rsidRDefault="00EB24F6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0041" w:rsidRDefault="00E50041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0041" w:rsidRDefault="00E50041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0041" w:rsidRDefault="00E50041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0041" w:rsidRDefault="00E50041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0041" w:rsidRDefault="00E50041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0041" w:rsidRDefault="00E50041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0041" w:rsidRDefault="00E50041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p w:rsidR="00E50041" w:rsidRPr="00734BBC" w:rsidRDefault="00E50041" w:rsidP="00500A7B">
      <w:pPr>
        <w:spacing w:after="0"/>
        <w:rPr>
          <w:rFonts w:ascii="Times New Roman" w:eastAsia="Times New Roman" w:hAnsi="Times New Roman"/>
          <w:color w:val="000000" w:themeColor="text1"/>
        </w:rPr>
      </w:pPr>
    </w:p>
    <w:bookmarkEnd w:id="1"/>
    <w:p w:rsidR="00500A7B" w:rsidRPr="00EB24F6" w:rsidRDefault="00500A7B" w:rsidP="00500A7B">
      <w:pPr>
        <w:spacing w:after="0"/>
        <w:ind w:left="3540" w:firstLine="709"/>
        <w:jc w:val="center"/>
        <w:rPr>
          <w:rFonts w:ascii="Times New Roman" w:eastAsia="Times New Roman" w:hAnsi="Times New Roman"/>
          <w:color w:val="000000" w:themeColor="text1"/>
        </w:rPr>
      </w:pPr>
      <w:r w:rsidRPr="00EB24F6">
        <w:rPr>
          <w:rFonts w:ascii="Times New Roman" w:eastAsia="Times New Roman" w:hAnsi="Times New Roman"/>
          <w:color w:val="000000" w:themeColor="text1"/>
        </w:rPr>
        <w:t>PREDSJEDNIK GRADSKOG  VIJEĆA</w:t>
      </w:r>
    </w:p>
    <w:p w:rsidR="00500A7B" w:rsidRPr="00734BBC" w:rsidRDefault="00500A7B" w:rsidP="00500A7B">
      <w:pPr>
        <w:spacing w:after="0"/>
        <w:ind w:left="3540" w:firstLine="709"/>
        <w:jc w:val="center"/>
        <w:rPr>
          <w:rFonts w:ascii="Times New Roman" w:eastAsia="Times New Roman" w:hAnsi="Times New Roman"/>
          <w:bCs/>
          <w:color w:val="000000" w:themeColor="text1"/>
        </w:rPr>
      </w:pPr>
      <w:r w:rsidRPr="00734BBC">
        <w:rPr>
          <w:rFonts w:ascii="Times New Roman" w:eastAsia="Times New Roman" w:hAnsi="Times New Roman"/>
          <w:bCs/>
          <w:color w:val="000000" w:themeColor="text1"/>
        </w:rPr>
        <w:t>Ante Piteša, ing.</w:t>
      </w:r>
    </w:p>
    <w:p w:rsidR="00500A7B" w:rsidRPr="00734BBC" w:rsidRDefault="00500A7B" w:rsidP="00500A7B">
      <w:pPr>
        <w:spacing w:after="0"/>
        <w:ind w:left="3540" w:firstLine="709"/>
        <w:jc w:val="center"/>
        <w:rPr>
          <w:rFonts w:ascii="Times New Roman" w:eastAsia="Times New Roman" w:hAnsi="Times New Roman"/>
          <w:b/>
          <w:color w:val="000000" w:themeColor="text1"/>
        </w:rPr>
      </w:pPr>
    </w:p>
    <w:p w:rsidR="00500A7B" w:rsidRPr="00734BBC" w:rsidRDefault="00500A7B" w:rsidP="00500A7B">
      <w:pPr>
        <w:spacing w:after="0"/>
        <w:ind w:left="3540" w:firstLine="709"/>
        <w:jc w:val="center"/>
        <w:rPr>
          <w:rFonts w:ascii="Times New Roman" w:eastAsia="Times New Roman" w:hAnsi="Times New Roman"/>
          <w:color w:val="000000" w:themeColor="text1"/>
        </w:rPr>
      </w:pPr>
      <w:bookmarkStart w:id="2" w:name="_Hlk505148594"/>
      <w:r w:rsidRPr="00734BBC">
        <w:rPr>
          <w:rFonts w:ascii="Times New Roman" w:eastAsia="Times New Roman" w:hAnsi="Times New Roman"/>
          <w:color w:val="000000" w:themeColor="text1"/>
        </w:rPr>
        <w:t>……………………..</w:t>
      </w:r>
    </w:p>
    <w:bookmarkEnd w:id="2"/>
    <w:p w:rsidR="00500A7B" w:rsidRDefault="00500A7B" w:rsidP="00500A7B">
      <w:pPr>
        <w:pStyle w:val="box454532"/>
        <w:spacing w:before="0" w:after="0"/>
        <w:jc w:val="center"/>
        <w:textAlignment w:val="baseline"/>
        <w:rPr>
          <w:b/>
          <w:color w:val="000000" w:themeColor="text1"/>
          <w:sz w:val="22"/>
          <w:szCs w:val="22"/>
        </w:rPr>
      </w:pPr>
    </w:p>
    <w:p w:rsidR="00EA0BBC" w:rsidRDefault="00EA0BBC" w:rsidP="00500A7B">
      <w:pPr>
        <w:pStyle w:val="box454532"/>
        <w:spacing w:before="0" w:after="0"/>
        <w:jc w:val="center"/>
        <w:textAlignment w:val="baseline"/>
        <w:rPr>
          <w:b/>
          <w:color w:val="000000" w:themeColor="text1"/>
          <w:sz w:val="22"/>
          <w:szCs w:val="22"/>
        </w:rPr>
      </w:pPr>
    </w:p>
    <w:p w:rsidR="00EA0BBC" w:rsidRDefault="00EA0BBC" w:rsidP="00500A7B">
      <w:pPr>
        <w:pStyle w:val="box454532"/>
        <w:spacing w:before="0" w:after="0"/>
        <w:jc w:val="center"/>
        <w:textAlignment w:val="baseline"/>
        <w:rPr>
          <w:b/>
          <w:color w:val="000000" w:themeColor="text1"/>
          <w:sz w:val="22"/>
          <w:szCs w:val="22"/>
        </w:rPr>
      </w:pPr>
    </w:p>
    <w:p w:rsidR="00EA0BBC" w:rsidRDefault="00EA0BBC" w:rsidP="009E659D">
      <w:pPr>
        <w:pStyle w:val="box454532"/>
        <w:spacing w:before="0" w:after="0"/>
        <w:textAlignment w:val="baseline"/>
        <w:rPr>
          <w:b/>
          <w:color w:val="000000" w:themeColor="text1"/>
          <w:sz w:val="22"/>
          <w:szCs w:val="22"/>
        </w:rPr>
      </w:pPr>
    </w:p>
    <w:p w:rsidR="00EA0BBC" w:rsidRDefault="00EA0BBC" w:rsidP="00500A7B">
      <w:pPr>
        <w:pStyle w:val="box454532"/>
        <w:spacing w:before="0" w:after="0"/>
        <w:jc w:val="center"/>
        <w:textAlignment w:val="baseline"/>
        <w:rPr>
          <w:b/>
          <w:color w:val="000000" w:themeColor="text1"/>
          <w:sz w:val="22"/>
          <w:szCs w:val="22"/>
        </w:rPr>
      </w:pPr>
    </w:p>
    <w:p w:rsidR="00C74002" w:rsidRDefault="00C74002" w:rsidP="00500A7B">
      <w:pPr>
        <w:pStyle w:val="box454532"/>
        <w:spacing w:before="0" w:after="0"/>
        <w:jc w:val="center"/>
        <w:textAlignment w:val="baseline"/>
        <w:rPr>
          <w:b/>
          <w:color w:val="000000" w:themeColor="text1"/>
          <w:sz w:val="22"/>
          <w:szCs w:val="22"/>
        </w:rPr>
      </w:pPr>
    </w:p>
    <w:p w:rsidR="00C74002" w:rsidRDefault="00C74002" w:rsidP="00500A7B">
      <w:pPr>
        <w:pStyle w:val="box454532"/>
        <w:spacing w:before="0" w:after="0"/>
        <w:jc w:val="center"/>
        <w:textAlignment w:val="baseline"/>
        <w:rPr>
          <w:b/>
          <w:color w:val="000000" w:themeColor="text1"/>
          <w:sz w:val="22"/>
          <w:szCs w:val="22"/>
        </w:rPr>
      </w:pPr>
    </w:p>
    <w:p w:rsidR="00C74002" w:rsidRDefault="00C74002" w:rsidP="00500A7B">
      <w:pPr>
        <w:pStyle w:val="box454532"/>
        <w:spacing w:before="0" w:after="0"/>
        <w:jc w:val="center"/>
        <w:textAlignment w:val="baseline"/>
        <w:rPr>
          <w:b/>
          <w:color w:val="000000" w:themeColor="text1"/>
          <w:sz w:val="22"/>
          <w:szCs w:val="22"/>
        </w:rPr>
      </w:pPr>
    </w:p>
    <w:p w:rsidR="00C74002" w:rsidRDefault="00C74002" w:rsidP="00500A7B">
      <w:pPr>
        <w:pStyle w:val="box454532"/>
        <w:spacing w:before="0" w:after="0"/>
        <w:jc w:val="center"/>
        <w:textAlignment w:val="baseline"/>
        <w:rPr>
          <w:b/>
          <w:color w:val="000000" w:themeColor="text1"/>
          <w:sz w:val="22"/>
          <w:szCs w:val="22"/>
        </w:rPr>
      </w:pPr>
    </w:p>
    <w:p w:rsidR="00C74002" w:rsidRDefault="00C74002" w:rsidP="00500A7B">
      <w:pPr>
        <w:pStyle w:val="box454532"/>
        <w:spacing w:before="0" w:after="0"/>
        <w:jc w:val="center"/>
        <w:textAlignment w:val="baseline"/>
        <w:rPr>
          <w:b/>
          <w:color w:val="000000" w:themeColor="text1"/>
          <w:sz w:val="22"/>
          <w:szCs w:val="22"/>
        </w:rPr>
      </w:pPr>
    </w:p>
    <w:p w:rsidR="003729D7" w:rsidRDefault="003729D7" w:rsidP="00AA6D80">
      <w:pPr>
        <w:pStyle w:val="box454532"/>
        <w:spacing w:before="0" w:after="0"/>
        <w:textAlignment w:val="baseline"/>
        <w:rPr>
          <w:b/>
          <w:color w:val="000000" w:themeColor="text1"/>
          <w:sz w:val="22"/>
          <w:szCs w:val="22"/>
        </w:rPr>
      </w:pPr>
      <w:bookmarkStart w:id="3" w:name="_GoBack"/>
      <w:bookmarkEnd w:id="3"/>
    </w:p>
    <w:sectPr w:rsidR="00372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D8B" w:rsidRDefault="00EA1D8B" w:rsidP="00655B92">
      <w:pPr>
        <w:spacing w:after="0"/>
      </w:pPr>
      <w:r>
        <w:separator/>
      </w:r>
    </w:p>
  </w:endnote>
  <w:endnote w:type="continuationSeparator" w:id="0">
    <w:p w:rsidR="00EA1D8B" w:rsidRDefault="00EA1D8B" w:rsidP="00655B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D8B" w:rsidRDefault="00EA1D8B" w:rsidP="00655B92">
      <w:pPr>
        <w:spacing w:after="0"/>
      </w:pPr>
      <w:r>
        <w:separator/>
      </w:r>
    </w:p>
  </w:footnote>
  <w:footnote w:type="continuationSeparator" w:id="0">
    <w:p w:rsidR="00EA1D8B" w:rsidRDefault="00EA1D8B" w:rsidP="00655B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sz w:val="22"/>
        <w:szCs w:val="22"/>
        <w:lang w:val="hr-HR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  <w:b w:val="0"/>
        <w:bCs w:val="0"/>
        <w:sz w:val="22"/>
        <w:szCs w:val="22"/>
        <w:lang w:val="hr-H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57"/>
    <w:rsid w:val="00005955"/>
    <w:rsid w:val="000429BD"/>
    <w:rsid w:val="00070E13"/>
    <w:rsid w:val="00072D80"/>
    <w:rsid w:val="00082402"/>
    <w:rsid w:val="000A04D6"/>
    <w:rsid w:val="000C43D4"/>
    <w:rsid w:val="000C46F9"/>
    <w:rsid w:val="000D4C00"/>
    <w:rsid w:val="000D6C25"/>
    <w:rsid w:val="00104E2F"/>
    <w:rsid w:val="00123A9D"/>
    <w:rsid w:val="00180CC0"/>
    <w:rsid w:val="00190B65"/>
    <w:rsid w:val="001B7291"/>
    <w:rsid w:val="001C78FC"/>
    <w:rsid w:val="001F7ED2"/>
    <w:rsid w:val="00244AB8"/>
    <w:rsid w:val="002473EE"/>
    <w:rsid w:val="0028646B"/>
    <w:rsid w:val="002E484D"/>
    <w:rsid w:val="00304C84"/>
    <w:rsid w:val="0032283D"/>
    <w:rsid w:val="003416E0"/>
    <w:rsid w:val="00350E00"/>
    <w:rsid w:val="00365BF1"/>
    <w:rsid w:val="00370B06"/>
    <w:rsid w:val="003711C6"/>
    <w:rsid w:val="00372427"/>
    <w:rsid w:val="003729D7"/>
    <w:rsid w:val="00386EB8"/>
    <w:rsid w:val="003A3A29"/>
    <w:rsid w:val="003A428F"/>
    <w:rsid w:val="003A5259"/>
    <w:rsid w:val="003C4C41"/>
    <w:rsid w:val="003C7D3E"/>
    <w:rsid w:val="003E7BCF"/>
    <w:rsid w:val="0041598A"/>
    <w:rsid w:val="00443A8D"/>
    <w:rsid w:val="00467B0C"/>
    <w:rsid w:val="004846EA"/>
    <w:rsid w:val="004B531A"/>
    <w:rsid w:val="004F61D7"/>
    <w:rsid w:val="004F6B9F"/>
    <w:rsid w:val="00500A7B"/>
    <w:rsid w:val="00513E09"/>
    <w:rsid w:val="005161E1"/>
    <w:rsid w:val="00531DD3"/>
    <w:rsid w:val="00540683"/>
    <w:rsid w:val="005859D3"/>
    <w:rsid w:val="005C59A3"/>
    <w:rsid w:val="00625603"/>
    <w:rsid w:val="00655B92"/>
    <w:rsid w:val="006D61C5"/>
    <w:rsid w:val="00740BD6"/>
    <w:rsid w:val="00741CE3"/>
    <w:rsid w:val="0079204E"/>
    <w:rsid w:val="007A1402"/>
    <w:rsid w:val="007A1C9A"/>
    <w:rsid w:val="007C3AAA"/>
    <w:rsid w:val="007D3409"/>
    <w:rsid w:val="007D59D7"/>
    <w:rsid w:val="007E78F4"/>
    <w:rsid w:val="00800EB9"/>
    <w:rsid w:val="00802263"/>
    <w:rsid w:val="00807DA0"/>
    <w:rsid w:val="008265DD"/>
    <w:rsid w:val="0086622E"/>
    <w:rsid w:val="008A6F5C"/>
    <w:rsid w:val="00911216"/>
    <w:rsid w:val="00913A97"/>
    <w:rsid w:val="00962B59"/>
    <w:rsid w:val="009913D9"/>
    <w:rsid w:val="00995095"/>
    <w:rsid w:val="009965AB"/>
    <w:rsid w:val="009A71AB"/>
    <w:rsid w:val="009D5A8E"/>
    <w:rsid w:val="009E659D"/>
    <w:rsid w:val="00A0204A"/>
    <w:rsid w:val="00A21C76"/>
    <w:rsid w:val="00A24072"/>
    <w:rsid w:val="00A263D3"/>
    <w:rsid w:val="00A44DDD"/>
    <w:rsid w:val="00A564F1"/>
    <w:rsid w:val="00AA5DDE"/>
    <w:rsid w:val="00AA6D80"/>
    <w:rsid w:val="00AD3C4E"/>
    <w:rsid w:val="00AE2E2A"/>
    <w:rsid w:val="00B44E44"/>
    <w:rsid w:val="00B75FE4"/>
    <w:rsid w:val="00BC2A81"/>
    <w:rsid w:val="00BD674A"/>
    <w:rsid w:val="00BE2C70"/>
    <w:rsid w:val="00BE3110"/>
    <w:rsid w:val="00BE4C1F"/>
    <w:rsid w:val="00BF37E0"/>
    <w:rsid w:val="00C66D36"/>
    <w:rsid w:val="00C74002"/>
    <w:rsid w:val="00CC5E1C"/>
    <w:rsid w:val="00CC7165"/>
    <w:rsid w:val="00D10CFE"/>
    <w:rsid w:val="00D96057"/>
    <w:rsid w:val="00DF33EA"/>
    <w:rsid w:val="00E051BE"/>
    <w:rsid w:val="00E2561F"/>
    <w:rsid w:val="00E50041"/>
    <w:rsid w:val="00EA0BBC"/>
    <w:rsid w:val="00EA1D8B"/>
    <w:rsid w:val="00EB24F6"/>
    <w:rsid w:val="00EC317C"/>
    <w:rsid w:val="00EE100A"/>
    <w:rsid w:val="00EE11BB"/>
    <w:rsid w:val="00EF3158"/>
    <w:rsid w:val="00F44C02"/>
    <w:rsid w:val="00FD7664"/>
    <w:rsid w:val="00FE46BB"/>
    <w:rsid w:val="00FF01E1"/>
    <w:rsid w:val="00FF14AB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6D539-7A04-44AE-AC57-FDA79352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057"/>
    <w:pPr>
      <w:suppressAutoHyphens/>
      <w:autoSpaceDN w:val="0"/>
      <w:spacing w:after="120" w:line="240" w:lineRule="auto"/>
      <w:jc w:val="both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eupadljivoisticanje">
    <w:name w:val="Subtle Emphasis"/>
    <w:basedOn w:val="Zadanifontodlomka"/>
    <w:uiPriority w:val="19"/>
    <w:qFormat/>
    <w:rsid w:val="00D96057"/>
    <w:rPr>
      <w:i/>
      <w:iCs/>
      <w:color w:val="404040" w:themeColor="text1" w:themeTint="BF"/>
    </w:rPr>
  </w:style>
  <w:style w:type="paragraph" w:styleId="Zaglavlje">
    <w:name w:val="header"/>
    <w:basedOn w:val="Normal"/>
    <w:link w:val="ZaglavljeChar"/>
    <w:uiPriority w:val="99"/>
    <w:unhideWhenUsed/>
    <w:rsid w:val="00655B92"/>
    <w:pPr>
      <w:tabs>
        <w:tab w:val="center" w:pos="4513"/>
        <w:tab w:val="right" w:pos="9026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655B92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655B92"/>
    <w:pPr>
      <w:tabs>
        <w:tab w:val="center" w:pos="4513"/>
        <w:tab w:val="right" w:pos="9026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655B92"/>
    <w:rPr>
      <w:rFonts w:ascii="Calibri" w:eastAsia="Calibri" w:hAnsi="Calibri" w:cs="Times New Roman"/>
    </w:rPr>
  </w:style>
  <w:style w:type="paragraph" w:styleId="Bezproreda">
    <w:name w:val="No Spacing"/>
    <w:uiPriority w:val="1"/>
    <w:qFormat/>
    <w:rsid w:val="00500A7B"/>
    <w:pPr>
      <w:autoSpaceDN w:val="0"/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box454532">
    <w:name w:val="box_454532"/>
    <w:basedOn w:val="Normal"/>
    <w:rsid w:val="00500A7B"/>
    <w:pPr>
      <w:suppressAutoHyphens w:val="0"/>
      <w:spacing w:before="100" w:after="225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500A7B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0C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CC0"/>
    <w:rPr>
      <w:rFonts w:ascii="Segoe UI" w:eastAsia="Calibri" w:hAnsi="Segoe UI" w:cs="Segoe UI"/>
      <w:sz w:val="18"/>
      <w:szCs w:val="18"/>
    </w:rPr>
  </w:style>
  <w:style w:type="character" w:customStyle="1" w:styleId="Style12pt">
    <w:name w:val="Style 12 pt"/>
    <w:rsid w:val="00D10CFE"/>
    <w:rPr>
      <w:rFonts w:cs="Times New Roman"/>
      <w:sz w:val="24"/>
      <w:szCs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Joško Miše</dc:creator>
  <cp:keywords/>
  <dc:description/>
  <cp:lastModifiedBy>Marina Geić</cp:lastModifiedBy>
  <cp:revision>4</cp:revision>
  <cp:lastPrinted>2020-03-06T12:32:00Z</cp:lastPrinted>
  <dcterms:created xsi:type="dcterms:W3CDTF">2020-03-30T08:25:00Z</dcterms:created>
  <dcterms:modified xsi:type="dcterms:W3CDTF">2020-03-30T08:28:00Z</dcterms:modified>
</cp:coreProperties>
</file>